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(2022)三狱减字第147号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罪犯李世波，男，1981年7月11日出生，汉族，云南省龙陵县人，初级中学教育，现在云南省第三监狱服刑。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2015年03月26日作出(2015)德刑三初字第44号刑事判决，以被告人李世波犯运输毒品罪，判处无期徒刑，剥夺政治权利终身，并处没收个人全部财产。判决发生法律效力后，于2015年06月04日交付监狱执行刑罚。执行期间，于2019年10月22日经云南省高级人民法院以(2019)云刑更2045号裁定，裁定减为有期徒刑二十二年，剥夺政治权利改为十年。现刑期自2019年10月22日至2041年10月21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2019年07月至2021年10月获记表扬5次，另查明，该犯系毒品再犯，累犯，确有履行能力而不履行或不全部履行生效裁判中财产性判项的罪犯；未履行财产性判项；期内月均消费67.00元，账户余额821.00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为此，根据《中华人民共和国刑法》第七十八条第一款、第七十九条、《中华人民共和国刑事诉讼法》第二百七十三条第二款、《中华人民共和国监狱法》第二十九条、第三十条之规定，建议对罪犯李世波予以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减去有期徒刑五个月，剥夺政治权利十年不变。特提请裁定。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