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(2022)三狱减字第270号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罪犯尚卫东，男，1986年11月28日出生，汉族，云南省文山市人，小学教育，现在云南省第三监狱服刑。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红河哈尼族彝族自治州中级人民法院于2007年08月28日作出(2007)红中刑初字第108号刑事附带民事判决，以被告人尚卫东犯故意伤害罪，判处无期徒刑，剥夺政治权利终身，并处单独赔偿附带民事诉讼原告人人民币22003.40元。宣判后，被告人尚卫东不服，提出上诉。云南省高级人民法院于2007年11月16日作出(2007)云高刑终字第1552号刑事附带民事裁定，驳回上诉，维持原判。判决发生法律效力后，于2007年12月28日交付监狱执行刑罚。执行期间，于2010年05月27日经云南省高级人民法院以(2010)云高刑执字第1601号裁定，裁定减为有期徒刑十九年八个月，剥夺政治权利改为七年；于2012年06月29日经云南省昆明市中级人民法院以(2012)昆刑执字第17241号裁定，裁定减去有期徒刑一年十一个月，剥夺政治权利七年不变；于2013年08月08日经云南省昆明市中级人民法院以(2013)昆刑执字第14344号裁定，裁定减去有期徒刑九个月，剥夺政治权利七年不变；于2014年09月08日经云南省昆明市中级人民法院以(2014)昆刑执字第18338号裁定，裁定减去有期徒刑八个月，剥夺政治权利七年不变；于2015年10月15日经云南省昆明市中级人民法院以(2015)昆刑执字第15275号裁定，裁定减去有期徒刑十个月，剥夺政治权利七年不变；于2016年12月27日经云南省昆明市中级人民法院以(2016)云01刑更20768号裁定，裁定减去有期徒刑一年，剥夺政治权利七年不变；于2019年06月26日经云南省昆明市中级人民法院以(2019)云01刑更5226号裁定，裁定减去有期徒刑九个月，剥夺政治权利七年不变。现刑期自2010年5月27日至2024年2月26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2018年12月至2021年08月获记表扬6次，单独赔偿附带民事诉讼原告人已履行完毕；期内月均消费72.00元，账户余额3550.91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为此，根据《中华人民共和国刑法》第七十八条第一款、第七十九条、《中华人民共和国刑事诉讼法》第二百七十三条第二款、《中华人民共和国监狱法》第二十九条、第三十条之规定，建议对罪犯尚卫东予以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减去有期徒刑九个月，剥夺政治权利七年不变。特提请裁定。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